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AA" w:rsidRDefault="00E023AA">
      <w:pPr>
        <w:pStyle w:val="ConsPlusTitle"/>
        <w:jc w:val="center"/>
      </w:pPr>
      <w:r>
        <w:t>ОСНОВНЫЕ НОВЕЛЛЫ</w:t>
      </w:r>
    </w:p>
    <w:p w:rsidR="00E023AA" w:rsidRDefault="00E023AA">
      <w:pPr>
        <w:pStyle w:val="ConsPlusTitle"/>
        <w:jc w:val="center"/>
      </w:pPr>
      <w:r>
        <w:t>В МЕТОДИЧЕСКИХ РЕКОМЕНДАЦИЯХ ПО ВОПРОСАМ ПРЕДСТАВЛЕНИЯ</w:t>
      </w:r>
    </w:p>
    <w:p w:rsidR="00E023AA" w:rsidRDefault="00E023AA">
      <w:pPr>
        <w:pStyle w:val="ConsPlusTitle"/>
        <w:jc w:val="center"/>
      </w:pPr>
      <w:r>
        <w:t>СВЕДЕНИЙ О ДОХОДАХ, РАСХОДАХ, ОБ ИМУЩЕСТВЕ И ОБЯЗАТЕЛЬСТВАХ</w:t>
      </w:r>
    </w:p>
    <w:p w:rsidR="00E023AA" w:rsidRDefault="00E023AA">
      <w:pPr>
        <w:pStyle w:val="ConsPlusTitle"/>
        <w:jc w:val="center"/>
      </w:pPr>
      <w:r>
        <w:t xml:space="preserve">ИМУЩЕСТВЕННОГО ХАРАКТЕРА И ЗАПОЛНЕНИЯ </w:t>
      </w:r>
      <w:proofErr w:type="gramStart"/>
      <w:r>
        <w:t>СООТВЕТСТВУЮЩЕЙ</w:t>
      </w:r>
      <w:proofErr w:type="gramEnd"/>
    </w:p>
    <w:p w:rsidR="00E023AA" w:rsidRDefault="00E023AA">
      <w:pPr>
        <w:pStyle w:val="ConsPlusTitle"/>
        <w:jc w:val="center"/>
      </w:pPr>
      <w:r>
        <w:t>ФОРМЫ СПРАВКИ В 2020 ГОДУ (ЗА ОТЧЕТНЫЙ 2019 ГОД)</w:t>
      </w:r>
    </w:p>
    <w:p w:rsidR="00E023AA" w:rsidRDefault="00E023AA">
      <w:pPr>
        <w:pStyle w:val="ConsPlusNormal"/>
        <w:ind w:firstLine="540"/>
        <w:jc w:val="both"/>
        <w:outlineLvl w:val="0"/>
      </w:pPr>
    </w:p>
    <w:p w:rsidR="00E023AA" w:rsidRDefault="00E023AA">
      <w:pPr>
        <w:pStyle w:val="ConsPlusNormal"/>
        <w:ind w:firstLine="540"/>
        <w:jc w:val="both"/>
      </w:pPr>
      <w:r>
        <w:t xml:space="preserve">В течение последних лет является устоявшейся практика подготовки Министерством труда и социальной защиты Российской </w:t>
      </w:r>
      <w:proofErr w:type="gramStart"/>
      <w:r>
        <w:t>Федерации</w:t>
      </w:r>
      <w:proofErr w:type="gramEnd"/>
      <w:r>
        <w:t xml:space="preserve">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E023AA" w:rsidRDefault="00E023AA">
      <w:pPr>
        <w:pStyle w:val="ConsPlusNormal"/>
        <w:spacing w:before="220"/>
        <w:ind w:firstLine="540"/>
        <w:jc w:val="both"/>
      </w:pPr>
      <w:r>
        <w:t xml:space="preserve">Методические </w:t>
      </w:r>
      <w:hyperlink r:id="rId4" w:history="1">
        <w:r>
          <w:rPr>
            <w:color w:val="0000FF"/>
          </w:rPr>
          <w:t>рекомендации</w:t>
        </w:r>
      </w:hyperlink>
      <w: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E023AA" w:rsidRDefault="00E023AA">
      <w:pPr>
        <w:pStyle w:val="ConsPlusNormal"/>
        <w:spacing w:before="220"/>
        <w:ind w:firstLine="540"/>
        <w:jc w:val="both"/>
      </w:pPr>
      <w:r>
        <w:t xml:space="preserve">В ходе использования в работе указанных Методических </w:t>
      </w:r>
      <w:hyperlink r:id="rId5" w:history="1">
        <w:r>
          <w:rPr>
            <w:color w:val="0000FF"/>
          </w:rPr>
          <w:t>рекомендаций</w:t>
        </w:r>
      </w:hyperlink>
      <w:r>
        <w:t xml:space="preserve"> предлагаем обратить внимание на следующее.</w:t>
      </w:r>
    </w:p>
    <w:p w:rsidR="00E023AA" w:rsidRDefault="00E023AA">
      <w:pPr>
        <w:pStyle w:val="ConsPlusNormal"/>
        <w:spacing w:before="220"/>
        <w:ind w:firstLine="540"/>
        <w:jc w:val="both"/>
      </w:pPr>
      <w:r>
        <w:t xml:space="preserve">1. В </w:t>
      </w:r>
      <w:hyperlink r:id="rId6" w:history="1">
        <w:r>
          <w:rPr>
            <w:color w:val="0000FF"/>
          </w:rPr>
          <w:t>преамбуле</w:t>
        </w:r>
      </w:hyperlink>
      <w:r>
        <w:t xml:space="preserve">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E023AA" w:rsidRDefault="00E023AA">
      <w:pPr>
        <w:pStyle w:val="ConsPlusNormal"/>
        <w:spacing w:before="220"/>
        <w:ind w:firstLine="540"/>
        <w:jc w:val="both"/>
      </w:pPr>
      <w:r>
        <w:t>2. 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E023AA" w:rsidRDefault="00E023AA">
      <w:pPr>
        <w:pStyle w:val="ConsPlusNormal"/>
        <w:spacing w:before="220"/>
        <w:ind w:firstLine="540"/>
        <w:jc w:val="both"/>
      </w:pPr>
      <w:r>
        <w:t xml:space="preserve">3. В </w:t>
      </w:r>
      <w:hyperlink r:id="rId7" w:history="1">
        <w:r>
          <w:rPr>
            <w:color w:val="0000FF"/>
          </w:rPr>
          <w:t>пункте 34</w:t>
        </w:r>
      </w:hyperlink>
      <w:r>
        <w:t xml:space="preserve">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023AA" w:rsidRDefault="00E023AA">
      <w:pPr>
        <w:pStyle w:val="ConsPlusNormal"/>
        <w:spacing w:before="220"/>
        <w:ind w:firstLine="540"/>
        <w:jc w:val="both"/>
      </w:pPr>
      <w:r>
        <w:t xml:space="preserve">4. Также в Методических </w:t>
      </w:r>
      <w:hyperlink r:id="rId8" w:history="1">
        <w:r>
          <w:rPr>
            <w:color w:val="0000FF"/>
          </w:rPr>
          <w:t>рекомендациях</w:t>
        </w:r>
      </w:hyperlink>
      <w:r>
        <w:t xml:space="preserve"> процитированы положения из Инструкции о порядке заполнения </w:t>
      </w:r>
      <w:hyperlink r:id="rId9" w:history="1">
        <w:r>
          <w:rPr>
            <w:color w:val="0000FF"/>
          </w:rPr>
          <w:t>справки</w:t>
        </w:r>
      </w:hyperlink>
      <w:r>
        <w:t xml:space="preserve">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E023AA" w:rsidRDefault="00E023AA">
      <w:pPr>
        <w:pStyle w:val="ConsPlusNormal"/>
        <w:spacing w:before="220"/>
        <w:ind w:firstLine="540"/>
        <w:jc w:val="both"/>
      </w:pPr>
      <w:r>
        <w:t xml:space="preserve">5. Дополнительно уточнено, что выплаты денежных сумм, осуществленные на основании договоров страхования, подлежат отражению в </w:t>
      </w:r>
      <w:hyperlink r:id="rId10" w:history="1">
        <w:r>
          <w:rPr>
            <w:color w:val="0000FF"/>
          </w:rPr>
          <w:t>разделе 1</w:t>
        </w:r>
      </w:hyperlink>
      <w:r>
        <w:t xml:space="preserve"> справки. При этом в отношении договоров страхования, поименованных в </w:t>
      </w:r>
      <w:hyperlink r:id="rId11" w:history="1">
        <w:r>
          <w:rPr>
            <w:color w:val="0000FF"/>
          </w:rPr>
          <w:t>подпункте 3 пункта 158</w:t>
        </w:r>
      </w:hyperlink>
      <w: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E023AA" w:rsidRDefault="00E023AA">
      <w:pPr>
        <w:pStyle w:val="ConsPlusNormal"/>
        <w:spacing w:before="220"/>
        <w:ind w:firstLine="540"/>
        <w:jc w:val="both"/>
      </w:pPr>
      <w:r>
        <w:t xml:space="preserve">6. В Методических </w:t>
      </w:r>
      <w:hyperlink r:id="rId12" w:history="1">
        <w:r>
          <w:rPr>
            <w:color w:val="0000FF"/>
          </w:rPr>
          <w:t>рекомендациях</w:t>
        </w:r>
      </w:hyperlink>
      <w:r>
        <w:t xml:space="preserve">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w:t>
      </w:r>
      <w:hyperlink r:id="rId13" w:history="1">
        <w:r>
          <w:rPr>
            <w:color w:val="0000FF"/>
          </w:rPr>
          <w:t>раздел 2</w:t>
        </w:r>
      </w:hyperlink>
      <w:r>
        <w:t xml:space="preserve"> справки заполняется в справках обоих лиц (аналогично в отношении несовершеннолетних детей). При этом в </w:t>
      </w:r>
      <w:hyperlink r:id="rId14" w:history="1">
        <w:r>
          <w:rPr>
            <w:color w:val="0000FF"/>
          </w:rPr>
          <w:t>графе</w:t>
        </w:r>
      </w:hyperlink>
      <w:r>
        <w:t xml:space="preserve"> </w:t>
      </w:r>
      <w:r>
        <w:lastRenderedPageBreak/>
        <w:t>"Сумма сделки" применимых справок рекомендуется указывать полную стоимость.</w:t>
      </w:r>
    </w:p>
    <w:p w:rsidR="00E023AA" w:rsidRDefault="00E023AA">
      <w:pPr>
        <w:pStyle w:val="ConsPlusNormal"/>
        <w:spacing w:before="220"/>
        <w:ind w:firstLine="540"/>
        <w:jc w:val="both"/>
      </w:pPr>
      <w:r>
        <w:t xml:space="preserve">7. Одновременно в Методических </w:t>
      </w:r>
      <w:hyperlink r:id="rId15" w:history="1">
        <w:r>
          <w:rPr>
            <w:color w:val="0000FF"/>
          </w:rPr>
          <w:t>рекомендациях</w:t>
        </w:r>
      </w:hyperlink>
      <w:r>
        <w:t xml:space="preserve"> предусмотрены положения, касающиеся граждан, зарегистрированных в качестве индивидуальных предпринимателей.</w:t>
      </w:r>
    </w:p>
    <w:p w:rsidR="00E023AA" w:rsidRDefault="00E023AA">
      <w:pPr>
        <w:pStyle w:val="ConsPlusNormal"/>
        <w:spacing w:before="220"/>
        <w:ind w:firstLine="540"/>
        <w:jc w:val="both"/>
      </w:pPr>
      <w:r>
        <w:t xml:space="preserve">8. 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(в том числе в </w:t>
      </w:r>
      <w:hyperlink r:id="rId16" w:history="1">
        <w:r>
          <w:rPr>
            <w:color w:val="0000FF"/>
          </w:rPr>
          <w:t>подразделе 6.1 раздела 6</w:t>
        </w:r>
      </w:hyperlink>
      <w:r>
        <w:t xml:space="preserve"> справки).</w:t>
      </w:r>
    </w:p>
    <w:p w:rsidR="00E023AA" w:rsidRDefault="00E023AA">
      <w:pPr>
        <w:pStyle w:val="ConsPlusNormal"/>
        <w:spacing w:before="220"/>
        <w:ind w:firstLine="540"/>
        <w:jc w:val="both"/>
      </w:pPr>
      <w:r>
        <w:t xml:space="preserve">9. Методические </w:t>
      </w:r>
      <w:hyperlink r:id="rId17" w:history="1">
        <w:r>
          <w:rPr>
            <w:color w:val="0000FF"/>
          </w:rPr>
          <w:t>рекомендации</w:t>
        </w:r>
      </w:hyperlink>
      <w:r>
        <w:t xml:space="preserve"> дополнены положением, согласно которому, по общему правилу, предусмотренному </w:t>
      </w:r>
      <w:hyperlink r:id="rId18"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rsidR="00E023AA" w:rsidRDefault="00E023AA">
      <w:pPr>
        <w:pStyle w:val="ConsPlusNormal"/>
        <w:spacing w:before="220"/>
        <w:ind w:firstLine="540"/>
        <w:jc w:val="both"/>
      </w:pPr>
      <w:r>
        <w:t xml:space="preserve">10. Отмечено, что в </w:t>
      </w:r>
      <w:hyperlink r:id="rId19" w:history="1">
        <w:r>
          <w:rPr>
            <w:color w:val="0000FF"/>
          </w:rPr>
          <w:t>графе</w:t>
        </w:r>
      </w:hyperlink>
      <w:r>
        <w:t xml:space="preserve">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E023AA" w:rsidRDefault="00E023AA">
      <w:pPr>
        <w:pStyle w:val="ConsPlusNormal"/>
        <w:spacing w:before="220"/>
        <w:ind w:firstLine="540"/>
        <w:jc w:val="both"/>
      </w:pPr>
      <w:r>
        <w:t xml:space="preserve">11. В </w:t>
      </w:r>
      <w:hyperlink r:id="rId20" w:history="1">
        <w:r>
          <w:rPr>
            <w:color w:val="0000FF"/>
          </w:rPr>
          <w:t>разделе 4</w:t>
        </w:r>
      </w:hyperlink>
      <w:r>
        <w:t xml:space="preserve"> справки необходимо отражать информацию о номинальных счетах и счетах эскроу,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E023AA" w:rsidRDefault="00E023AA">
      <w:pPr>
        <w:pStyle w:val="ConsPlusNormal"/>
        <w:spacing w:before="220"/>
        <w:ind w:firstLine="540"/>
        <w:jc w:val="both"/>
      </w:pPr>
      <w:r>
        <w:t xml:space="preserve">12. В части </w:t>
      </w:r>
      <w:hyperlink r:id="rId21" w:history="1">
        <w:r>
          <w:rPr>
            <w:color w:val="0000FF"/>
          </w:rPr>
          <w:t>графы</w:t>
        </w:r>
      </w:hyperlink>
      <w:r>
        <w:t xml:space="preserve">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023AA" w:rsidRDefault="00E023AA">
      <w:pPr>
        <w:pStyle w:val="ConsPlusNormal"/>
        <w:spacing w:before="220"/>
        <w:ind w:firstLine="540"/>
        <w:jc w:val="both"/>
      </w:pPr>
      <w:r>
        <w:t xml:space="preserve">13. </w:t>
      </w:r>
      <w:proofErr w:type="gramStart"/>
      <w:r>
        <w:t xml:space="preserve">Одновременно для </w:t>
      </w:r>
      <w:hyperlink r:id="rId22" w:history="1">
        <w:r>
          <w:rPr>
            <w:color w:val="0000FF"/>
          </w:rPr>
          <w:t>графы</w:t>
        </w:r>
      </w:hyperlink>
      <w:r>
        <w:t xml:space="preserve">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w:t>
      </w:r>
      <w:hyperlink r:id="rId23" w:history="1">
        <w:r>
          <w:rPr>
            <w:color w:val="0000FF"/>
          </w:rPr>
          <w:t>графа</w:t>
        </w:r>
      </w:hyperlink>
      <w:r>
        <w:t xml:space="preserve"> не заполняется).</w:t>
      </w:r>
      <w:proofErr w:type="gramEnd"/>
    </w:p>
    <w:p w:rsidR="00E023AA" w:rsidRDefault="00E023AA">
      <w:pPr>
        <w:pStyle w:val="ConsPlusNormal"/>
        <w:spacing w:before="220"/>
        <w:ind w:firstLine="540"/>
        <w:jc w:val="both"/>
      </w:pPr>
      <w:r>
        <w:t xml:space="preserve">14. Также в Методических </w:t>
      </w:r>
      <w:hyperlink r:id="rId24" w:history="1">
        <w:r>
          <w:rPr>
            <w:color w:val="0000FF"/>
          </w:rPr>
          <w:t>рекомендациях</w:t>
        </w:r>
      </w:hyperlink>
      <w:r>
        <w:t xml:space="preserve"> указано, что информация о наличии банковских счетов может быть получена лицом, в отношении которого представляется справка, у ФНС России.</w:t>
      </w:r>
    </w:p>
    <w:p w:rsidR="00E023AA" w:rsidRDefault="00E023AA">
      <w:pPr>
        <w:pStyle w:val="ConsPlusNormal"/>
        <w:spacing w:before="220"/>
        <w:ind w:firstLine="540"/>
        <w:jc w:val="both"/>
      </w:pPr>
      <w:r>
        <w:t xml:space="preserve">15. Уточнены условия, при которых не требуется в </w:t>
      </w:r>
      <w:hyperlink r:id="rId25" w:history="1">
        <w:r>
          <w:rPr>
            <w:color w:val="0000FF"/>
          </w:rPr>
          <w:t>подразделе 6.1 раздела 6</w:t>
        </w:r>
      </w:hyperlink>
      <w:r>
        <w:t xml:space="preserve"> справки одного из супругов указывать все объекты недвижимости, находящиеся в собственности другого супруга (отсутствует фактическое пользование этим объектом супругом и эти объекты указаны в </w:t>
      </w:r>
      <w:hyperlink r:id="rId26" w:history="1">
        <w:r>
          <w:rPr>
            <w:color w:val="0000FF"/>
          </w:rPr>
          <w:t>подразделе 3.1</w:t>
        </w:r>
      </w:hyperlink>
      <w:r>
        <w:t xml:space="preserve"> справки одного из супругов (аналогично в отношении несовершеннолетних детей)).</w:t>
      </w:r>
    </w:p>
    <w:p w:rsidR="00E023AA" w:rsidRDefault="00E023AA">
      <w:pPr>
        <w:pStyle w:val="ConsPlusNormal"/>
        <w:spacing w:before="220"/>
        <w:ind w:firstLine="540"/>
        <w:jc w:val="both"/>
      </w:pPr>
      <w:r>
        <w:t xml:space="preserve">16. Также конкретизированы положения о размере обязательства для целей заполнения </w:t>
      </w:r>
      <w:hyperlink r:id="rId27" w:history="1">
        <w:r>
          <w:rPr>
            <w:color w:val="0000FF"/>
          </w:rPr>
          <w:t>подраздела 6.2 раздела 6</w:t>
        </w:r>
      </w:hyperlink>
      <w:r>
        <w:t xml:space="preserve">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E023AA" w:rsidRDefault="00E023AA">
      <w:pPr>
        <w:pStyle w:val="ConsPlusNormal"/>
        <w:spacing w:before="220"/>
        <w:ind w:firstLine="540"/>
        <w:jc w:val="both"/>
      </w:pPr>
      <w:r>
        <w:t xml:space="preserve">17. </w:t>
      </w:r>
      <w:proofErr w:type="gramStart"/>
      <w:r>
        <w:t xml:space="preserve">Методические </w:t>
      </w:r>
      <w:hyperlink r:id="rId28" w:history="1">
        <w:r>
          <w:rPr>
            <w:color w:val="0000FF"/>
          </w:rPr>
          <w:t>рекомендации</w:t>
        </w:r>
      </w:hyperlink>
      <w:r>
        <w:t xml:space="preserve">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w:t>
      </w:r>
      <w:hyperlink r:id="rId29" w:history="1">
        <w:r>
          <w:rPr>
            <w:color w:val="0000FF"/>
          </w:rPr>
          <w:t>закона</w:t>
        </w:r>
      </w:hyperlink>
      <w:r>
        <w:t xml:space="preserve"> от 23 декабря 2003 г. N 177-ФЗ "О страховании вкладов в банках Российской Федерации" является </w:t>
      </w:r>
      <w:r>
        <w:lastRenderedPageBreak/>
        <w:t>государственная корпорация "Агентство по страхованию вкладов") и не подлежат отражению (договор срочного банковского вклада).</w:t>
      </w:r>
      <w:proofErr w:type="gramEnd"/>
    </w:p>
    <w:p w:rsidR="00E023AA" w:rsidRDefault="00E023AA">
      <w:pPr>
        <w:pStyle w:val="ConsPlusNormal"/>
        <w:spacing w:before="220"/>
        <w:ind w:firstLine="540"/>
        <w:jc w:val="both"/>
      </w:pPr>
      <w:r>
        <w:t xml:space="preserve">18. В отношении </w:t>
      </w:r>
      <w:hyperlink r:id="rId30" w:history="1">
        <w:r>
          <w:rPr>
            <w:color w:val="0000FF"/>
          </w:rPr>
          <w:t>подраздела 6.2 раздела 6</w:t>
        </w:r>
      </w:hyperlink>
      <w:r>
        <w:t xml:space="preserve"> справки подробно раскрыт порядок отражения обязательств, возникающих в соответствии с </w:t>
      </w:r>
      <w:hyperlink r:id="rId31"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w:t>
      </w:r>
    </w:p>
    <w:p w:rsidR="00E023AA" w:rsidRDefault="00E023AA">
      <w:pPr>
        <w:pStyle w:val="ConsPlusNormal"/>
        <w:spacing w:before="220"/>
        <w:ind w:firstLine="540"/>
        <w:jc w:val="both"/>
      </w:pPr>
      <w:r>
        <w:t xml:space="preserve">19. Также в Методических </w:t>
      </w:r>
      <w:hyperlink r:id="rId32" w:history="1">
        <w:r>
          <w:rPr>
            <w:color w:val="0000FF"/>
          </w:rPr>
          <w:t>рекомендациях</w:t>
        </w:r>
      </w:hyperlink>
      <w:r>
        <w:t xml:space="preserve">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w:t>
      </w:r>
      <w:hyperlink r:id="rId33" w:history="1">
        <w:r>
          <w:rPr>
            <w:color w:val="0000FF"/>
          </w:rPr>
          <w:t>справки</w:t>
        </w:r>
      </w:hyperlink>
      <w:r>
        <w:t xml:space="preserve">. Договор мены не подлежит отражению в данном разделе </w:t>
      </w:r>
      <w:hyperlink r:id="rId34" w:history="1">
        <w:r>
          <w:rPr>
            <w:color w:val="0000FF"/>
          </w:rPr>
          <w:t>справки</w:t>
        </w:r>
      </w:hyperlink>
      <w:r>
        <w:t>, так как он является возмездным.</w:t>
      </w:r>
    </w:p>
    <w:p w:rsidR="00E023AA" w:rsidRDefault="00E023AA">
      <w:pPr>
        <w:pStyle w:val="ConsPlusNormal"/>
        <w:spacing w:before="220"/>
        <w:ind w:firstLine="540"/>
        <w:jc w:val="both"/>
      </w:pPr>
      <w:r>
        <w:t xml:space="preserve">20. Положения Методических </w:t>
      </w:r>
      <w:hyperlink r:id="rId35" w:history="1">
        <w:r>
          <w:rPr>
            <w:color w:val="0000FF"/>
          </w:rPr>
          <w:t>рекомендаций</w:t>
        </w:r>
      </w:hyperlink>
      <w:r>
        <w:t xml:space="preserve"> актуализированы с учетом изменений нормативных правовых актов Российской Федерации.</w:t>
      </w:r>
    </w:p>
    <w:p w:rsidR="00E023AA" w:rsidRDefault="00E023AA">
      <w:pPr>
        <w:pStyle w:val="ConsPlusNormal"/>
        <w:jc w:val="both"/>
      </w:pPr>
    </w:p>
    <w:p w:rsidR="00E023AA" w:rsidRDefault="00E023AA">
      <w:pPr>
        <w:pStyle w:val="ConsPlusNormal"/>
        <w:jc w:val="both"/>
      </w:pPr>
    </w:p>
    <w:p w:rsidR="00E023AA" w:rsidRDefault="00E023AA">
      <w:pPr>
        <w:pStyle w:val="ConsPlusNormal"/>
        <w:pBdr>
          <w:top w:val="single" w:sz="6" w:space="0" w:color="auto"/>
        </w:pBdr>
        <w:spacing w:before="100" w:after="100"/>
        <w:jc w:val="both"/>
        <w:rPr>
          <w:sz w:val="2"/>
          <w:szCs w:val="2"/>
        </w:rPr>
      </w:pPr>
    </w:p>
    <w:p w:rsidR="00E023AA" w:rsidRDefault="00E023AA">
      <w:pPr>
        <w:pStyle w:val="ConsPlusNormal"/>
      </w:pPr>
      <w:hyperlink r:id="rId36" w:history="1">
        <w:r>
          <w:rPr>
            <w:i/>
            <w:color w:val="0000FF"/>
          </w:rPr>
          <w:br/>
          <w:t>&lt;Письмо&gt; Минтруда России от 27.12.2019 N 18-2/10/В-11200 "О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{КонсультантПлюс}</w:t>
        </w:r>
      </w:hyperlink>
      <w:r>
        <w:br/>
      </w:r>
    </w:p>
    <w:p w:rsidR="00821C93" w:rsidRDefault="00821C93"/>
    <w:sectPr w:rsidR="00821C93" w:rsidSect="00DA6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023AA"/>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11D"/>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23A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3A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7DF4F535B5F8E7D9BEE9F7951D015EC53D6C81A20F9B0CA8205186C64E1AE0A9E809FC262C422CA37C383C37MCzFI" TargetMode="External"/><Relationship Id="rId13" Type="http://schemas.openxmlformats.org/officeDocument/2006/relationships/hyperlink" Target="consultantplus://offline/ref=357DF4F535B5F8E7D9BEE9F7951D015EC43E678BA60E9B0CA8205186C64E1AE0BBE851F0262D5C2BA6696E6D719A550EE697C56A2EAD5705MFz1I" TargetMode="External"/><Relationship Id="rId18" Type="http://schemas.openxmlformats.org/officeDocument/2006/relationships/hyperlink" Target="consultantplus://offline/ref=357DF4F535B5F8E7D9BEE9F7951D015EC53D6E80A60F9B0CA8205186C64E1AE0BBE851F0262C5D25A3696E6D719A550EE697C56A2EAD5705MFz1I" TargetMode="External"/><Relationship Id="rId26" Type="http://schemas.openxmlformats.org/officeDocument/2006/relationships/hyperlink" Target="consultantplus://offline/ref=357DF4F535B5F8E7D9BEE9F7951D015EC43E678BA60E9B0CA8205186C64E1AE0BBE851F0262D5D2CA0696E6D719A550EE697C56A2EAD5705MFz1I" TargetMode="External"/><Relationship Id="rId3" Type="http://schemas.openxmlformats.org/officeDocument/2006/relationships/webSettings" Target="webSettings.xml"/><Relationship Id="rId21" Type="http://schemas.openxmlformats.org/officeDocument/2006/relationships/hyperlink" Target="consultantplus://offline/ref=357DF4F535B5F8E7D9BEE9F7951D015EC43E678BA60E9B0CA8205186C64E1AE0BBE851F0262D5D25AD696E6D719A550EE697C56A2EAD5705MFz1I" TargetMode="External"/><Relationship Id="rId34" Type="http://schemas.openxmlformats.org/officeDocument/2006/relationships/hyperlink" Target="consultantplus://offline/ref=357DF4F535B5F8E7D9BEE9F7951D015EC43E678BA60E9B0CA8205186C64E1AE0BBE851F0262D5F2DAC696E6D719A550EE697C56A2EAD5705MFz1I" TargetMode="External"/><Relationship Id="rId7" Type="http://schemas.openxmlformats.org/officeDocument/2006/relationships/hyperlink" Target="consultantplus://offline/ref=357DF4F535B5F8E7D9BEE9F7951D015EC53D6C81A20F9B0CA8205186C64E1AE0BBE851F0262D5D28A0696E6D719A550EE697C56A2EAD5705MFz1I" TargetMode="External"/><Relationship Id="rId12" Type="http://schemas.openxmlformats.org/officeDocument/2006/relationships/hyperlink" Target="consultantplus://offline/ref=357DF4F535B5F8E7D9BEE9F7951D015EC53D6C81A20F9B0CA8205186C64E1AE0BBE851F0262D5E2BA7696E6D719A550EE697C56A2EAD5705MFz1I" TargetMode="External"/><Relationship Id="rId17" Type="http://schemas.openxmlformats.org/officeDocument/2006/relationships/hyperlink" Target="consultantplus://offline/ref=357DF4F535B5F8E7D9BEE9F7951D015EC53D6C81A20F9B0CA8205186C64E1AE0BBE851F0262D5F2FA5696E6D719A550EE697C56A2EAD5705MFz1I" TargetMode="External"/><Relationship Id="rId25" Type="http://schemas.openxmlformats.org/officeDocument/2006/relationships/hyperlink" Target="consultantplus://offline/ref=357DF4F535B5F8E7D9BEE9F7951D015EC43E678BA60E9B0CA8205186C64E1AE0BBE851F0262D5E2FA4696E6D719A550EE697C56A2EAD5705MFz1I" TargetMode="External"/><Relationship Id="rId33" Type="http://schemas.openxmlformats.org/officeDocument/2006/relationships/hyperlink" Target="consultantplus://offline/ref=357DF4F535B5F8E7D9BEE9F7951D015EC43E678BA60E9B0CA8205186C64E1AE0BBE851F0262D5F2DAC696E6D719A550EE697C56A2EAD5705MFz1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57DF4F535B5F8E7D9BEE9F7951D015EC43E678BA60E9B0CA8205186C64E1AE0BBE851F0262D5E2FA4696E6D719A550EE697C56A2EAD5705MFz1I" TargetMode="External"/><Relationship Id="rId20" Type="http://schemas.openxmlformats.org/officeDocument/2006/relationships/hyperlink" Target="consultantplus://offline/ref=357DF4F535B5F8E7D9BEE9F7951D015EC43E678BA60E9B0CA8205186C64E1AE0BBE851F0262D5D2BA0696E6D719A550EE697C56A2EAD5705MFz1I" TargetMode="External"/><Relationship Id="rId29" Type="http://schemas.openxmlformats.org/officeDocument/2006/relationships/hyperlink" Target="consultantplus://offline/ref=357DF4F535B5F8E7D9BEE9F7951D015EC53C6D80A20B9B0CA8205186C64E1AE0A9E809FC262C422CA37C383C37MCzFI" TargetMode="External"/><Relationship Id="rId1" Type="http://schemas.openxmlformats.org/officeDocument/2006/relationships/styles" Target="styles.xml"/><Relationship Id="rId6" Type="http://schemas.openxmlformats.org/officeDocument/2006/relationships/hyperlink" Target="consultantplus://offline/ref=357DF4F535B5F8E7D9BEE9F7951D015EC53D6C81A20F9B0CA8205186C64E1AE0BBE851F0262D5C2CAD696E6D719A550EE697C56A2EAD5705MFz1I" TargetMode="External"/><Relationship Id="rId11" Type="http://schemas.openxmlformats.org/officeDocument/2006/relationships/hyperlink" Target="consultantplus://offline/ref=357DF4F535B5F8E7D9BEE9F7951D015EC53D6C81A20F9B0CA8205186C64E1AE0BBE851F0262D592CA5696E6D719A550EE697C56A2EAD5705MFz1I" TargetMode="External"/><Relationship Id="rId24" Type="http://schemas.openxmlformats.org/officeDocument/2006/relationships/hyperlink" Target="consultantplus://offline/ref=357DF4F535B5F8E7D9BEE9F7951D015EC53D6C81A20F9B0CA8205186C64E1AE0BBE851F0262D582DA5696E6D719A550EE697C56A2EAD5705MFz1I" TargetMode="External"/><Relationship Id="rId32" Type="http://schemas.openxmlformats.org/officeDocument/2006/relationships/hyperlink" Target="consultantplus://offline/ref=357DF4F535B5F8E7D9BEE9F7951D015EC53D6C81A20F9B0CA8205186C64E1AE0BBE851F0262D592CAD696E6D719A550EE697C56A2EAD5705MFz1I" TargetMode="External"/><Relationship Id="rId37" Type="http://schemas.openxmlformats.org/officeDocument/2006/relationships/fontTable" Target="fontTable.xml"/><Relationship Id="rId5" Type="http://schemas.openxmlformats.org/officeDocument/2006/relationships/hyperlink" Target="consultantplus://offline/ref=357DF4F535B5F8E7D9BEE9F7951D015EC53D6C81A20F9B0CA8205186C64E1AE0A9E809FC262C422CA37C383C37MCzFI" TargetMode="External"/><Relationship Id="rId15" Type="http://schemas.openxmlformats.org/officeDocument/2006/relationships/hyperlink" Target="consultantplus://offline/ref=357DF4F535B5F8E7D9BEE9F7951D015EC53D6C81A20F9B0CA8205186C64E1AE0A9E809FC262C422CA37C383C37MCzFI" TargetMode="External"/><Relationship Id="rId23" Type="http://schemas.openxmlformats.org/officeDocument/2006/relationships/hyperlink" Target="consultantplus://offline/ref=357DF4F535B5F8E7D9BEE9F7951D015EC43E678BA60E9B0CA8205186C64E1AE0BBE851F0262D5E2DA1696E6D719A550EE697C56A2EAD5705MFz1I" TargetMode="External"/><Relationship Id="rId28" Type="http://schemas.openxmlformats.org/officeDocument/2006/relationships/hyperlink" Target="consultantplus://offline/ref=357DF4F535B5F8E7D9BEE9F7951D015EC53D6C81A20F9B0CA8205186C64E1AE0A9E809FC262C422CA37C383C37MCzFI" TargetMode="External"/><Relationship Id="rId36" Type="http://schemas.openxmlformats.org/officeDocument/2006/relationships/hyperlink" Target="consultantplus://offline/ref=357DF4F535B5F8E7D9BEE9F7951D015EC53D6F85AC0B9B0CA8205186C64E1AE0BBE851F0262D5C2FAD696E6D719A550EE697C56A2EAD5705MFz1I" TargetMode="External"/><Relationship Id="rId10" Type="http://schemas.openxmlformats.org/officeDocument/2006/relationships/hyperlink" Target="consultantplus://offline/ref=357DF4F535B5F8E7D9BEE9F7951D015EC43E678BA60E9B0CA8205186C64E1AE0BBE851F0262D5C28AC696E6D719A550EE697C56A2EAD5705MFz1I" TargetMode="External"/><Relationship Id="rId19" Type="http://schemas.openxmlformats.org/officeDocument/2006/relationships/hyperlink" Target="consultantplus://offline/ref=357DF4F535B5F8E7D9BEE9F7951D015EC43E678BA60E9B0CA8205186C64E1AE0BBE851F0262D5D28A7696E6D719A550EE697C56A2EAD5705MFz1I" TargetMode="External"/><Relationship Id="rId31" Type="http://schemas.openxmlformats.org/officeDocument/2006/relationships/hyperlink" Target="consultantplus://offline/ref=357DF4F535B5F8E7D9BEE9F7951D015EC53C6F81A0099B0CA8205186C64E1AE0A9E809FC262C422CA37C383C37MCzFI" TargetMode="External"/><Relationship Id="rId4" Type="http://schemas.openxmlformats.org/officeDocument/2006/relationships/hyperlink" Target="consultantplus://offline/ref=357DF4F535B5F8E7D9BEE9F7951D015EC53D6C81A20F9B0CA8205186C64E1AE0A9E809FC262C422CA37C383C37MCzFI" TargetMode="External"/><Relationship Id="rId9" Type="http://schemas.openxmlformats.org/officeDocument/2006/relationships/hyperlink" Target="consultantplus://offline/ref=357DF4F535B5F8E7D9BEE9F7951D015EC43E678BA60E9B0CA8205186C64E1AE0BBE851F0262D5C28A0696E6D719A550EE697C56A2EAD5705MFz1I" TargetMode="External"/><Relationship Id="rId14" Type="http://schemas.openxmlformats.org/officeDocument/2006/relationships/hyperlink" Target="consultantplus://offline/ref=357DF4F535B5F8E7D9BEE9F7951D015EC43E678BA60E9B0CA8205186C64E1AE0BBE851F0262D5C2BA3696E6D719A550EE697C56A2EAD5705MFz1I" TargetMode="External"/><Relationship Id="rId22" Type="http://schemas.openxmlformats.org/officeDocument/2006/relationships/hyperlink" Target="consultantplus://offline/ref=357DF4F535B5F8E7D9BEE9F7951D015EC43E678BA60E9B0CA8205186C64E1AE0BBE851F0262D5E2DA1696E6D719A550EE697C56A2EAD5705MFz1I" TargetMode="External"/><Relationship Id="rId27" Type="http://schemas.openxmlformats.org/officeDocument/2006/relationships/hyperlink" Target="consultantplus://offline/ref=357DF4F535B5F8E7D9BEE9F7951D015EC43E678BA60E9B0CA8205186C64E1AE0BBE851F0262D5E28A2696E6D719A550EE697C56A2EAD5705MFz1I" TargetMode="External"/><Relationship Id="rId30" Type="http://schemas.openxmlformats.org/officeDocument/2006/relationships/hyperlink" Target="consultantplus://offline/ref=357DF4F535B5F8E7D9BEE9F7951D015EC43E678BA60E9B0CA8205186C64E1AE0BBE851F0262D5E28A2696E6D719A550EE697C56A2EAD5705MFz1I" TargetMode="External"/><Relationship Id="rId35" Type="http://schemas.openxmlformats.org/officeDocument/2006/relationships/hyperlink" Target="consultantplus://offline/ref=357DF4F535B5F8E7D9BEE9F7951D015EC53D6C81A20F9B0CA8205186C64E1AE0A9E809FC262C422CA37C383C37MCz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1994</Words>
  <Characters>11366</Characters>
  <Application>Microsoft Office Word</Application>
  <DocSecurity>0</DocSecurity>
  <Lines>94</Lines>
  <Paragraphs>26</Paragraphs>
  <ScaleCrop>false</ScaleCrop>
  <Company>Microsoft</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2020-06-01T08:51:00Z</dcterms:created>
  <dcterms:modified xsi:type="dcterms:W3CDTF">2020-06-01T08:51:00Z</dcterms:modified>
</cp:coreProperties>
</file>